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E3" w:rsidRPr="00F66D5C" w:rsidRDefault="004B24E3" w:rsidP="00F66D5C">
      <w:pPr>
        <w:jc w:val="center"/>
        <w:rPr>
          <w:b/>
          <w:sz w:val="36"/>
        </w:rPr>
      </w:pPr>
      <w:r w:rsidRPr="00F66D5C">
        <w:rPr>
          <w:b/>
          <w:sz w:val="36"/>
        </w:rPr>
        <w:t>LE MOT DU CHERCHEUR </w:t>
      </w:r>
      <w:r w:rsidR="00F66D5C" w:rsidRPr="00F66D5C">
        <w:rPr>
          <w:b/>
          <w:sz w:val="36"/>
        </w:rPr>
        <w:t>« </w:t>
      </w:r>
      <w:r w:rsidRPr="00F66D5C">
        <w:rPr>
          <w:b/>
          <w:sz w:val="36"/>
        </w:rPr>
        <w:t>MANIPULER – VERBALISER – ABSTRAIRE »</w:t>
      </w:r>
      <w:r w:rsidR="00B676A6" w:rsidRPr="00F66D5C">
        <w:rPr>
          <w:b/>
          <w:sz w:val="36"/>
        </w:rPr>
        <w:t xml:space="preserve"> </w:t>
      </w:r>
    </w:p>
    <w:p w:rsidR="00082761" w:rsidRPr="00F66D5C" w:rsidRDefault="00B14F0E" w:rsidP="004B24E3">
      <w:pPr>
        <w:jc w:val="both"/>
        <w:rPr>
          <w:sz w:val="24"/>
        </w:rPr>
      </w:pPr>
      <w:r>
        <w:rPr>
          <w:sz w:val="24"/>
        </w:rPr>
        <w:t xml:space="preserve">On sait que </w:t>
      </w:r>
      <w:r w:rsidR="004B24E3" w:rsidRPr="00F66D5C">
        <w:rPr>
          <w:sz w:val="24"/>
        </w:rPr>
        <w:t xml:space="preserve">la manipulation </w:t>
      </w:r>
      <w:r>
        <w:rPr>
          <w:sz w:val="24"/>
        </w:rPr>
        <w:t xml:space="preserve">est indispensable </w:t>
      </w:r>
      <w:r w:rsidR="004B24E3" w:rsidRPr="00F66D5C">
        <w:rPr>
          <w:sz w:val="24"/>
        </w:rPr>
        <w:t xml:space="preserve">pour faire acquérir des notions </w:t>
      </w:r>
      <w:r w:rsidR="00082761" w:rsidRPr="00F66D5C">
        <w:rPr>
          <w:sz w:val="24"/>
        </w:rPr>
        <w:t xml:space="preserve">mathématiques </w:t>
      </w:r>
      <w:r w:rsidR="00D57BAD">
        <w:rPr>
          <w:sz w:val="24"/>
        </w:rPr>
        <w:t xml:space="preserve">abstraites </w:t>
      </w:r>
      <w:r w:rsidR="004B24E3" w:rsidRPr="00F66D5C">
        <w:rPr>
          <w:sz w:val="24"/>
        </w:rPr>
        <w:t>chez les élèves</w:t>
      </w:r>
      <w:r w:rsidR="00D57BAD">
        <w:rPr>
          <w:sz w:val="24"/>
        </w:rPr>
        <w:t>. M</w:t>
      </w:r>
      <w:r w:rsidR="004B24E3" w:rsidRPr="00F66D5C">
        <w:rPr>
          <w:sz w:val="24"/>
        </w:rPr>
        <w:t xml:space="preserve">ais </w:t>
      </w:r>
      <w:r w:rsidR="004B24E3" w:rsidRPr="004F11B2">
        <w:rPr>
          <w:b/>
          <w:sz w:val="24"/>
        </w:rPr>
        <w:t>de quelle manipulation parle-t-on</w:t>
      </w:r>
      <w:r w:rsidR="004B24E3" w:rsidRPr="00F66D5C">
        <w:rPr>
          <w:sz w:val="24"/>
        </w:rPr>
        <w:t> </w:t>
      </w:r>
      <w:r w:rsidR="004B24E3" w:rsidRPr="00B14F0E">
        <w:rPr>
          <w:b/>
          <w:sz w:val="24"/>
        </w:rPr>
        <w:t>?</w:t>
      </w:r>
      <w:r w:rsidR="004B24E3" w:rsidRPr="00F66D5C">
        <w:rPr>
          <w:sz w:val="24"/>
        </w:rPr>
        <w:t xml:space="preserve"> </w:t>
      </w:r>
      <w:r w:rsidR="00D57BAD">
        <w:rPr>
          <w:sz w:val="24"/>
        </w:rPr>
        <w:t xml:space="preserve">Et </w:t>
      </w:r>
      <w:r w:rsidR="00D57BAD" w:rsidRPr="00D57BAD">
        <w:rPr>
          <w:b/>
          <w:sz w:val="24"/>
        </w:rPr>
        <w:t>comment atteindre cette abstraction</w:t>
      </w:r>
      <w:r w:rsidR="00D57BAD">
        <w:rPr>
          <w:sz w:val="24"/>
        </w:rPr>
        <w:t> ?</w:t>
      </w:r>
    </w:p>
    <w:p w:rsidR="004F4EEA" w:rsidRPr="004F4EEA" w:rsidRDefault="004F4EEA" w:rsidP="004F4EEA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4F4EEA">
        <w:rPr>
          <w:u w:val="single"/>
        </w:rPr>
        <w:t>Une manipulation active</w:t>
      </w:r>
    </w:p>
    <w:p w:rsidR="00E735DB" w:rsidRDefault="003817EB" w:rsidP="004B24E3">
      <w:pPr>
        <w:jc w:val="both"/>
      </w:pPr>
      <w:r w:rsidRPr="004F11B2">
        <w:t>Le schéma</w:t>
      </w:r>
      <w:r w:rsidR="00082761" w:rsidRPr="004F11B2">
        <w:t xml:space="preserve"> ci-dessous </w:t>
      </w:r>
      <w:r w:rsidRPr="004F11B2">
        <w:t>proposé</w:t>
      </w:r>
      <w:r w:rsidR="00082761" w:rsidRPr="004F11B2">
        <w:t xml:space="preserve"> par Marie-Line Gardes (enseignant-chercheur MCF) et Thierry Dias (docteur en didactique des mathématiques et sciences de l’éducation) </w:t>
      </w:r>
      <w:r w:rsidRPr="004F11B2">
        <w:t>met</w:t>
      </w:r>
      <w:r w:rsidR="00082761" w:rsidRPr="004F11B2">
        <w:t xml:space="preserve"> en avant l’importance de</w:t>
      </w:r>
      <w:r w:rsidR="00632A39" w:rsidRPr="004F11B2">
        <w:t xml:space="preserve"> favoriser</w:t>
      </w:r>
      <w:r w:rsidR="00082761" w:rsidRPr="004F11B2">
        <w:t xml:space="preserve"> la </w:t>
      </w:r>
      <w:r w:rsidR="00082761" w:rsidRPr="004F11B2">
        <w:rPr>
          <w:b/>
        </w:rPr>
        <w:t>manipulation active</w:t>
      </w:r>
      <w:r w:rsidR="00082761" w:rsidRPr="004F11B2">
        <w:t xml:space="preserve"> : l’élève doit pouvoir anticiper, formuler des hypothèses, les contrôler, les valider pour que </w:t>
      </w:r>
      <w:r w:rsidR="00632A39" w:rsidRPr="004F11B2">
        <w:t xml:space="preserve">le retour à </w:t>
      </w:r>
      <w:r w:rsidR="00082761" w:rsidRPr="004F11B2">
        <w:t>l’utilisation du m</w:t>
      </w:r>
      <w:r w:rsidR="00632A39" w:rsidRPr="004F11B2">
        <w:t>atériel soit efficient</w:t>
      </w:r>
      <w:r w:rsidR="00082761" w:rsidRPr="004F11B2">
        <w:t>.</w:t>
      </w:r>
      <w:r w:rsidR="00E735DB" w:rsidRPr="004F11B2">
        <w:t xml:space="preserve"> </w:t>
      </w:r>
    </w:p>
    <w:p w:rsidR="00D57BAD" w:rsidRDefault="00E735DB" w:rsidP="00D57BAD">
      <w:pPr>
        <w:jc w:val="center"/>
        <w:rPr>
          <w:sz w:val="20"/>
        </w:rPr>
      </w:pPr>
      <w:r w:rsidRPr="00F66D5C">
        <w:rPr>
          <w:b/>
          <w:noProof/>
          <w:sz w:val="36"/>
          <w:lang w:eastAsia="fr-FR"/>
        </w:rPr>
        <w:drawing>
          <wp:inline distT="0" distB="0" distL="0" distR="0" wp14:anchorId="7CBE0ECD" wp14:editId="224AC383">
            <wp:extent cx="6181725" cy="2943678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489" cy="30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E6" w:rsidRPr="00D57BAD" w:rsidRDefault="00D57BAD" w:rsidP="003101E6">
      <w:pPr>
        <w:jc w:val="both"/>
      </w:pPr>
      <w:r w:rsidRPr="00D57BAD">
        <w:rPr>
          <w:iCs/>
        </w:rPr>
        <w:t>On agit avec une intention, grâce à une organisation spécifique en appui sur un raisonnement</w:t>
      </w:r>
      <w:r>
        <w:rPr>
          <w:iCs/>
        </w:rPr>
        <w:t xml:space="preserve">. </w:t>
      </w:r>
      <w:r w:rsidRPr="00D57BAD">
        <w:t>« </w:t>
      </w:r>
      <w:r w:rsidRPr="003101E6">
        <w:rPr>
          <w:i/>
        </w:rPr>
        <w:t>Une véritable expérimentation suppose raisonnement et anticipation, émission d’hypothèses, élaboration de stratégies, ce qui est bien différent d’une manipulation activité </w:t>
      </w:r>
      <w:r w:rsidRPr="00D57BAD">
        <w:t xml:space="preserve">».    </w:t>
      </w:r>
      <w:r w:rsidRPr="003101E6">
        <w:t xml:space="preserve">( </w:t>
      </w:r>
      <w:r w:rsidR="003101E6">
        <w:t xml:space="preserve">Roland </w:t>
      </w:r>
      <w:proofErr w:type="spellStart"/>
      <w:r w:rsidRPr="003101E6">
        <w:t>Charn</w:t>
      </w:r>
      <w:r w:rsidR="003101E6" w:rsidRPr="003101E6">
        <w:t>ay</w:t>
      </w:r>
      <w:proofErr w:type="spellEnd"/>
      <w:r w:rsidR="003101E6" w:rsidRPr="003101E6">
        <w:t xml:space="preserve"> - café pé</w:t>
      </w:r>
      <w:r w:rsidRPr="003101E6">
        <w:t>da</w:t>
      </w:r>
      <w:r w:rsidR="003101E6">
        <w:t xml:space="preserve">gogique </w:t>
      </w:r>
      <w:r w:rsidRPr="003101E6">
        <w:t xml:space="preserve"> fév. 2018</w:t>
      </w:r>
      <w:r w:rsidR="003101E6">
        <w:t xml:space="preserve">) </w:t>
      </w:r>
      <w:hyperlink r:id="rId8" w:history="1">
        <w:r w:rsidR="003101E6" w:rsidRPr="004423B8">
          <w:rPr>
            <w:rStyle w:val="Lienhypertexte"/>
          </w:rPr>
          <w:t>http://www.cafepedagogique.net/lexpresso/Pages/2018/02/15022018Article636542746811501072.aspx</w:t>
        </w:r>
      </w:hyperlink>
      <w:bookmarkStart w:id="0" w:name="_GoBack"/>
      <w:bookmarkEnd w:id="0"/>
    </w:p>
    <w:p w:rsidR="004F4EEA" w:rsidRPr="004F4EEA" w:rsidRDefault="004F4EEA" w:rsidP="004F4EEA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4F4EEA">
        <w:rPr>
          <w:u w:val="single"/>
        </w:rPr>
        <w:t>Empêcher la manipulation</w:t>
      </w:r>
    </w:p>
    <w:p w:rsidR="004F4EEA" w:rsidRDefault="003817EB" w:rsidP="00E735DB">
      <w:pPr>
        <w:jc w:val="both"/>
      </w:pPr>
      <w:r w:rsidRPr="004F11B2">
        <w:t xml:space="preserve">Pierre </w:t>
      </w:r>
      <w:proofErr w:type="spellStart"/>
      <w:r w:rsidRPr="004F11B2">
        <w:t>Eysseric</w:t>
      </w:r>
      <w:proofErr w:type="spellEnd"/>
      <w:r w:rsidRPr="004F11B2">
        <w:t xml:space="preserve"> (formateur en mathématiques à l’ESPE d’Aix-Marseille) s’interroge sur l’intérêt de la manipulation en mathématiques notamment dès le cycle 1. Les mathématiques par essence sont abstraites et pour accéder à cette abstraction, il va falloir poser des contraintes et empêcher à un moment donné la manipulation d’objets concrets. </w:t>
      </w:r>
      <w:r w:rsidR="00B676A6" w:rsidRPr="004F11B2">
        <w:t>Autrement dit, i</w:t>
      </w:r>
      <w:r w:rsidRPr="004F11B2">
        <w:t xml:space="preserve">l s’agit de bloquer l’accès au matériel pour </w:t>
      </w:r>
      <w:r w:rsidR="00B676A6" w:rsidRPr="004F11B2">
        <w:t>permettre à l’élève de</w:t>
      </w:r>
      <w:r w:rsidRPr="004F11B2">
        <w:t xml:space="preserve"> passer à la représentation</w:t>
      </w:r>
      <w:r w:rsidR="00E735DB" w:rsidRPr="004F11B2">
        <w:t>. Ce n’est pas parce que l’on donne du matériel à un élève qu’il va forcément mieux se représenter la situation</w:t>
      </w:r>
      <w:r w:rsidR="0063285E">
        <w:t xml:space="preserve"> : </w:t>
      </w:r>
      <w:r w:rsidR="004F4EEA">
        <w:rPr>
          <w:rFonts w:ascii="Calibri" w:eastAsia="Calibri" w:hAnsi="Calibri" w:cs="Calibri"/>
          <w:color w:val="000000"/>
        </w:rPr>
        <w:t xml:space="preserve">les élèves peuvent être actifs au niveau de la manipulation, ils utilisent, ils touchent, ils manient des objets, ils font mais y </w:t>
      </w:r>
      <w:proofErr w:type="spellStart"/>
      <w:proofErr w:type="gramStart"/>
      <w:r w:rsidR="004F4EEA">
        <w:rPr>
          <w:rFonts w:ascii="Calibri" w:eastAsia="Calibri" w:hAnsi="Calibri" w:cs="Calibri"/>
          <w:color w:val="000000"/>
        </w:rPr>
        <w:t>a t</w:t>
      </w:r>
      <w:proofErr w:type="spellEnd"/>
      <w:r w:rsidR="004F4EEA">
        <w:rPr>
          <w:rFonts w:ascii="Calibri" w:eastAsia="Calibri" w:hAnsi="Calibri" w:cs="Calibri"/>
          <w:color w:val="000000"/>
        </w:rPr>
        <w:t>-il</w:t>
      </w:r>
      <w:proofErr w:type="gramEnd"/>
      <w:r w:rsidR="004F4EEA">
        <w:rPr>
          <w:rFonts w:ascii="Calibri" w:eastAsia="Calibri" w:hAnsi="Calibri" w:cs="Calibri"/>
          <w:color w:val="000000"/>
        </w:rPr>
        <w:t xml:space="preserve"> pour autant apprentissage?</w:t>
      </w:r>
    </w:p>
    <w:p w:rsidR="004F4EEA" w:rsidRDefault="00E735DB" w:rsidP="00E735DB">
      <w:pPr>
        <w:jc w:val="both"/>
      </w:pPr>
      <w:r w:rsidRPr="004F11B2">
        <w:t xml:space="preserve">On veut que l’élève soit actif au niveau intellectuel et non juste actif sur la manipulation d’objets. </w:t>
      </w:r>
      <w:r w:rsidR="00632A39" w:rsidRPr="004F11B2">
        <w:t xml:space="preserve">Le matériel doit </w:t>
      </w:r>
      <w:r w:rsidR="002041D3" w:rsidRPr="004F11B2">
        <w:t xml:space="preserve">donc </w:t>
      </w:r>
      <w:r w:rsidR="00632A39" w:rsidRPr="004F11B2">
        <w:t xml:space="preserve">changer de statut « de matériel pour constater/observer, il devient </w:t>
      </w:r>
      <w:r w:rsidR="00632A39" w:rsidRPr="004F11B2">
        <w:rPr>
          <w:b/>
        </w:rPr>
        <w:t>matériel pour anticiper/valider</w:t>
      </w:r>
      <w:r w:rsidR="00632A39" w:rsidRPr="004F11B2">
        <w:t xml:space="preserve"> ». </w:t>
      </w:r>
    </w:p>
    <w:p w:rsidR="0063285E" w:rsidRPr="0063285E" w:rsidRDefault="0063285E" w:rsidP="0063285E">
      <w:pPr>
        <w:jc w:val="both"/>
        <w:rPr>
          <w:b/>
          <w:sz w:val="40"/>
        </w:rPr>
      </w:pPr>
      <w:r w:rsidRPr="00F66D5C">
        <w:rPr>
          <w:sz w:val="23"/>
          <w:szCs w:val="23"/>
        </w:rPr>
        <w:t>Pour qu’elle soit un levier dans l’apprentissage, la manipulation devra toujours être contrainte et, à un moment donné, empêchée ; sans cela elle s’érigera en obstacle aux apprentissages, enfermant l’élève dans l’action alors que l’objectif est de le</w:t>
      </w:r>
      <w:r>
        <w:rPr>
          <w:sz w:val="23"/>
          <w:szCs w:val="23"/>
        </w:rPr>
        <w:t xml:space="preserve"> conduire à </w:t>
      </w:r>
      <w:r w:rsidRPr="004F11B2">
        <w:rPr>
          <w:b/>
          <w:sz w:val="23"/>
          <w:szCs w:val="23"/>
        </w:rPr>
        <w:t>penser cette action</w:t>
      </w:r>
      <w:r w:rsidRPr="00F66D5C">
        <w:rPr>
          <w:sz w:val="23"/>
          <w:szCs w:val="23"/>
        </w:rPr>
        <w:t xml:space="preserve"> (mallette </w:t>
      </w:r>
      <w:proofErr w:type="spellStart"/>
      <w:r w:rsidRPr="00F66D5C">
        <w:rPr>
          <w:sz w:val="23"/>
          <w:szCs w:val="23"/>
        </w:rPr>
        <w:t>copirelem</w:t>
      </w:r>
      <w:proofErr w:type="spellEnd"/>
      <w:r w:rsidRPr="00F66D5C">
        <w:rPr>
          <w:sz w:val="23"/>
          <w:szCs w:val="23"/>
        </w:rPr>
        <w:t xml:space="preserve"> le nombre à l’école maternelle)</w:t>
      </w:r>
      <w:r>
        <w:rPr>
          <w:sz w:val="23"/>
          <w:szCs w:val="23"/>
        </w:rPr>
        <w:t>.</w:t>
      </w:r>
    </w:p>
    <w:p w:rsidR="00D57BAD" w:rsidRDefault="00E735DB" w:rsidP="00E735DB">
      <w:pPr>
        <w:jc w:val="both"/>
        <w:rPr>
          <w:b/>
        </w:rPr>
      </w:pPr>
      <w:r w:rsidRPr="004F11B2">
        <w:t xml:space="preserve">Par conséquent : </w:t>
      </w:r>
      <w:r w:rsidRPr="004F11B2">
        <w:rPr>
          <w:b/>
        </w:rPr>
        <w:t>« Oui il faut que les enfants manipulent à condition de les empêcher de manipuler ! »</w:t>
      </w:r>
      <w:r w:rsidR="00B676A6" w:rsidRPr="004F11B2">
        <w:rPr>
          <w:b/>
        </w:rPr>
        <w:t xml:space="preserve"> </w:t>
      </w:r>
    </w:p>
    <w:p w:rsidR="00D57BAD" w:rsidRPr="0063285E" w:rsidRDefault="00D50E5D" w:rsidP="00D57BAD">
      <w:pPr>
        <w:jc w:val="both"/>
        <w:rPr>
          <w:color w:val="0563C1" w:themeColor="hyperlink"/>
          <w:u w:val="single"/>
        </w:rPr>
      </w:pPr>
      <w:r w:rsidRPr="004F11B2">
        <w:t>Pour aller plus loin</w:t>
      </w:r>
      <w:r w:rsidRPr="004F11B2">
        <w:rPr>
          <w:b/>
        </w:rPr>
        <w:t> </w:t>
      </w:r>
      <w:r w:rsidRPr="004F11B2">
        <w:t>:</w:t>
      </w:r>
      <w:r w:rsidRPr="004F11B2">
        <w:rPr>
          <w:b/>
        </w:rPr>
        <w:t xml:space="preserve"> </w:t>
      </w:r>
      <w:hyperlink r:id="rId9" w:history="1">
        <w:r w:rsidR="003817EB" w:rsidRPr="004F11B2">
          <w:rPr>
            <w:rStyle w:val="Lienhypertexte"/>
          </w:rPr>
          <w:t>https://www.cahiers-pedagogiques.com/La-manipulation-en-maths-oui-ou-non-Vous-en-pensez-quoi</w:t>
        </w:r>
      </w:hyperlink>
    </w:p>
    <w:p w:rsidR="004F4EEA" w:rsidRPr="004F4EEA" w:rsidRDefault="004F4EEA" w:rsidP="004F4EEA">
      <w:pPr>
        <w:pStyle w:val="Paragraphedeliste"/>
        <w:numPr>
          <w:ilvl w:val="0"/>
          <w:numId w:val="1"/>
        </w:numPr>
        <w:rPr>
          <w:u w:val="single"/>
        </w:rPr>
      </w:pPr>
      <w:r w:rsidRPr="004F4EEA">
        <w:rPr>
          <w:u w:val="single"/>
        </w:rPr>
        <w:lastRenderedPageBreak/>
        <w:t>La place de la verbalisation</w:t>
      </w:r>
    </w:p>
    <w:p w:rsidR="00D57BAD" w:rsidRDefault="00D57BAD" w:rsidP="00D57BAD">
      <w:pPr>
        <w:jc w:val="both"/>
      </w:pPr>
      <w:r>
        <w:t>Pour qu’il y ait situation d’apprentissage, il faut qu’il ait un défi intellectuel, la résolution d’un</w:t>
      </w:r>
      <w:r w:rsidRPr="00D57BAD">
        <w:t xml:space="preserve"> problème où l’enfant va être en recherche, où il va alors essayer</w:t>
      </w:r>
      <w:r w:rsidR="007412B3">
        <w:t>, tester, il va se questionner,</w:t>
      </w:r>
      <w:r w:rsidR="0063285E">
        <w:t xml:space="preserve"> émettre</w:t>
      </w:r>
      <w:r w:rsidRPr="00D57BAD">
        <w:t xml:space="preserve"> des hypothèses, trouve</w:t>
      </w:r>
      <w:r>
        <w:t>r des solut</w:t>
      </w:r>
      <w:r w:rsidR="007412B3">
        <w:t xml:space="preserve">ions et les vérifier. Mais cet apprentissage est facilité si l’élève </w:t>
      </w:r>
      <w:r w:rsidRPr="0063285E">
        <w:rPr>
          <w:b/>
        </w:rPr>
        <w:t>met</w:t>
      </w:r>
      <w:r w:rsidR="007412B3" w:rsidRPr="0063285E">
        <w:rPr>
          <w:b/>
        </w:rPr>
        <w:t xml:space="preserve"> en mots</w:t>
      </w:r>
      <w:r w:rsidR="007412B3">
        <w:t xml:space="preserve">, </w:t>
      </w:r>
      <w:r w:rsidR="007412B3" w:rsidRPr="0063285E">
        <w:rPr>
          <w:b/>
        </w:rPr>
        <w:t>décrit</w:t>
      </w:r>
      <w:r w:rsidR="007412B3">
        <w:t xml:space="preserve"> ce qu’il fait, </w:t>
      </w:r>
      <w:r w:rsidR="007412B3" w:rsidRPr="0063285E">
        <w:rPr>
          <w:b/>
        </w:rPr>
        <w:t>explique</w:t>
      </w:r>
      <w:r w:rsidR="007412B3">
        <w:t xml:space="preserve"> comment il le fait.</w:t>
      </w:r>
      <w:r w:rsidRPr="00D57BAD">
        <w:t xml:space="preserve"> </w:t>
      </w:r>
      <w:r w:rsidR="007412B3">
        <w:t>Et lorsqu’il</w:t>
      </w:r>
      <w:r w:rsidRPr="00D57BAD">
        <w:t xml:space="preserve"> va confronter ses résultats avec ceux des autres lors d’une mise en commun, il va </w:t>
      </w:r>
      <w:r w:rsidRPr="0063285E">
        <w:rPr>
          <w:b/>
        </w:rPr>
        <w:t>argumenter</w:t>
      </w:r>
      <w:r w:rsidRPr="00D57BAD">
        <w:t xml:space="preserve"> (prouver un raisonnement, </w:t>
      </w:r>
      <w:r w:rsidRPr="003101E6">
        <w:rPr>
          <w:b/>
        </w:rPr>
        <w:t>convaincre</w:t>
      </w:r>
      <w:r w:rsidRPr="00D57BAD">
        <w:t>)</w:t>
      </w:r>
      <w:r w:rsidR="007412B3">
        <w:t xml:space="preserve">. La place de la </w:t>
      </w:r>
      <w:r w:rsidR="007412B3" w:rsidRPr="0063285E">
        <w:rPr>
          <w:b/>
        </w:rPr>
        <w:t>verbalisation</w:t>
      </w:r>
      <w:r w:rsidR="007412B3">
        <w:t xml:space="preserve"> est donc très importante </w:t>
      </w:r>
      <w:r w:rsidR="0063285E">
        <w:t xml:space="preserve">à chaque étape du processus d’apprentissage. </w:t>
      </w:r>
    </w:p>
    <w:p w:rsidR="007412B3" w:rsidRPr="00D57BAD" w:rsidRDefault="007412B3" w:rsidP="007412B3">
      <w:pPr>
        <w:jc w:val="center"/>
      </w:pPr>
      <w:r w:rsidRPr="007412B3">
        <w:rPr>
          <w:noProof/>
          <w:lang w:eastAsia="fr-FR"/>
        </w:rPr>
        <w:drawing>
          <wp:inline distT="0" distB="0" distL="0" distR="0" wp14:anchorId="7F598821" wp14:editId="28C868A7">
            <wp:extent cx="5038725" cy="261517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28" cy="262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EA" w:rsidRPr="0063285E" w:rsidRDefault="007412B3" w:rsidP="007C751B">
      <w:pPr>
        <w:ind w:left="5664" w:firstLine="708"/>
        <w:rPr>
          <w:sz w:val="20"/>
        </w:rPr>
      </w:pPr>
      <w:r w:rsidRPr="0063285E">
        <w:rPr>
          <w:sz w:val="20"/>
        </w:rPr>
        <w:t xml:space="preserve">Document de Nicolas Pinel </w:t>
      </w:r>
    </w:p>
    <w:p w:rsidR="0063285E" w:rsidRDefault="0063285E" w:rsidP="00E735DB">
      <w:pPr>
        <w:rPr>
          <w:b/>
          <w:sz w:val="32"/>
        </w:rPr>
      </w:pPr>
    </w:p>
    <w:p w:rsidR="00082761" w:rsidRPr="00E735DB" w:rsidRDefault="00E735DB" w:rsidP="00E735DB">
      <w:pPr>
        <w:rPr>
          <w:b/>
          <w:sz w:val="32"/>
        </w:rPr>
      </w:pPr>
      <w:r w:rsidRPr="00E735DB">
        <w:rPr>
          <w:b/>
          <w:sz w:val="32"/>
        </w:rPr>
        <w:t>En résumé :</w:t>
      </w:r>
    </w:p>
    <w:p w:rsidR="00E735DB" w:rsidRDefault="003101E6" w:rsidP="00B676A6">
      <w:pPr>
        <w:jc w:val="center"/>
        <w:rPr>
          <w:b/>
          <w:sz w:val="40"/>
        </w:rPr>
      </w:pPr>
      <w:r w:rsidRPr="003101E6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2576195</wp:posOffset>
                </wp:positionV>
                <wp:extent cx="257175" cy="295275"/>
                <wp:effectExtent l="0" t="0" r="9525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1E6" w:rsidRDefault="003101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4pt;margin-top:202.85pt;width:20.2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" stroked="f">
                <v:textbox>
                  <w:txbxContent>
                    <w:p w:rsidR="003101E6" w:rsidRDefault="003101E6"/>
                  </w:txbxContent>
                </v:textbox>
              </v:shape>
            </w:pict>
          </mc:Fallback>
        </mc:AlternateContent>
      </w:r>
      <w:r w:rsidR="00B676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497205</wp:posOffset>
                </wp:positionV>
                <wp:extent cx="314325" cy="2571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68552" id="Rectangle 4" o:spid="_x0000_s1026" style="position:absolute;margin-left:28.5pt;margin-top:39.15pt;width:24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" fillcolor="white [3212]" stroked="f" strokeweight="1pt"/>
            </w:pict>
          </mc:Fallback>
        </mc:AlternateContent>
      </w:r>
      <w:r w:rsidR="00B676A6" w:rsidRPr="006C2F21">
        <w:rPr>
          <w:noProof/>
          <w:lang w:eastAsia="fr-FR"/>
        </w:rPr>
        <w:drawing>
          <wp:inline distT="0" distB="0" distL="0" distR="0" wp14:anchorId="58D3928C" wp14:editId="47A9EB5C">
            <wp:extent cx="5907313" cy="29622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639" cy="309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AE" w:rsidRPr="0063285E" w:rsidRDefault="003101E6" w:rsidP="0063285E">
      <w:pPr>
        <w:rPr>
          <w:sz w:val="28"/>
        </w:rPr>
      </w:pPr>
      <w:r>
        <w:rPr>
          <w:sz w:val="28"/>
        </w:rPr>
        <w:t>Le jeu du glouton permet de faire vivre</w:t>
      </w:r>
      <w:r w:rsidR="0063285E" w:rsidRPr="0063285E">
        <w:rPr>
          <w:sz w:val="28"/>
        </w:rPr>
        <w:t xml:space="preserve"> ce triptyque MANIPULER-VERBALISER-ABSTRAIRE</w:t>
      </w:r>
      <w:r>
        <w:rPr>
          <w:sz w:val="28"/>
        </w:rPr>
        <w:t>.</w:t>
      </w:r>
    </w:p>
    <w:sectPr w:rsidR="005668AE" w:rsidRPr="0063285E" w:rsidSect="00B676A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0F" w:rsidRDefault="00A1490F" w:rsidP="003426AE">
      <w:pPr>
        <w:spacing w:after="0" w:line="240" w:lineRule="auto"/>
      </w:pPr>
      <w:r>
        <w:separator/>
      </w:r>
    </w:p>
  </w:endnote>
  <w:endnote w:type="continuationSeparator" w:id="0">
    <w:p w:rsidR="00A1490F" w:rsidRDefault="00A1490F" w:rsidP="0034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AE" w:rsidRDefault="003426AE" w:rsidP="003426AE">
    <w:pPr>
      <w:pStyle w:val="Pieddepage"/>
      <w:tabs>
        <w:tab w:val="clear" w:pos="4536"/>
        <w:tab w:val="clear" w:pos="9072"/>
        <w:tab w:val="center" w:pos="7380"/>
        <w:tab w:val="right" w:pos="13680"/>
      </w:tabs>
      <w:rPr>
        <w:sz w:val="20"/>
      </w:rPr>
    </w:pPr>
    <w:r>
      <w:rPr>
        <w:sz w:val="20"/>
      </w:rPr>
      <w:ptab w:relativeTo="margin" w:alignment="center" w:leader="none"/>
    </w:r>
    <w:r>
      <w:rPr>
        <w:sz w:val="20"/>
      </w:rPr>
      <w:t xml:space="preserve">Gil </w:t>
    </w:r>
    <w:proofErr w:type="spellStart"/>
    <w:r>
      <w:rPr>
        <w:sz w:val="20"/>
      </w:rPr>
      <w:t>Gaune</w:t>
    </w:r>
    <w:proofErr w:type="spellEnd"/>
    <w:r w:rsidRPr="00BE273D">
      <w:rPr>
        <w:sz w:val="20"/>
      </w:rPr>
      <w:t xml:space="preserve">, Nathalie Roussel, Cécile </w:t>
    </w:r>
    <w:proofErr w:type="spellStart"/>
    <w:r w:rsidRPr="00BE273D">
      <w:rPr>
        <w:sz w:val="20"/>
      </w:rPr>
      <w:t>Xercavins</w:t>
    </w:r>
    <w:proofErr w:type="spellEnd"/>
  </w:p>
  <w:p w:rsidR="003426AE" w:rsidRDefault="003426AE" w:rsidP="003426AE">
    <w:pPr>
      <w:pStyle w:val="Pieddepage"/>
    </w:pPr>
    <w:r>
      <w:rPr>
        <w:sz w:val="20"/>
      </w:rPr>
      <w:ptab w:relativeTo="margin" w:alignment="center" w:leader="none"/>
    </w:r>
    <w:r>
      <w:rPr>
        <w:sz w:val="20"/>
      </w:rPr>
      <w:t>Référent</w:t>
    </w:r>
    <w:r w:rsidRPr="00BE273D">
      <w:rPr>
        <w:sz w:val="20"/>
      </w:rPr>
      <w:t>s Mathématiques de Circonscription, département du Rhône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0F" w:rsidRDefault="00A1490F" w:rsidP="003426AE">
      <w:pPr>
        <w:spacing w:after="0" w:line="240" w:lineRule="auto"/>
      </w:pPr>
      <w:r>
        <w:separator/>
      </w:r>
    </w:p>
  </w:footnote>
  <w:footnote w:type="continuationSeparator" w:id="0">
    <w:p w:rsidR="00A1490F" w:rsidRDefault="00A1490F" w:rsidP="0034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7C1"/>
    <w:multiLevelType w:val="hybridMultilevel"/>
    <w:tmpl w:val="903241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3"/>
    <w:rsid w:val="00082761"/>
    <w:rsid w:val="002041D3"/>
    <w:rsid w:val="003101E6"/>
    <w:rsid w:val="003426AE"/>
    <w:rsid w:val="003817EB"/>
    <w:rsid w:val="004B24E3"/>
    <w:rsid w:val="004F11B2"/>
    <w:rsid w:val="004F4EEA"/>
    <w:rsid w:val="005668AE"/>
    <w:rsid w:val="0063285E"/>
    <w:rsid w:val="00632A39"/>
    <w:rsid w:val="007412B3"/>
    <w:rsid w:val="007C751B"/>
    <w:rsid w:val="00863E5E"/>
    <w:rsid w:val="00A1490F"/>
    <w:rsid w:val="00B14F0E"/>
    <w:rsid w:val="00B676A6"/>
    <w:rsid w:val="00CB44CB"/>
    <w:rsid w:val="00D50E5D"/>
    <w:rsid w:val="00D57BAD"/>
    <w:rsid w:val="00E735DB"/>
    <w:rsid w:val="00F560F8"/>
    <w:rsid w:val="00F6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357F"/>
  <w15:chartTrackingRefBased/>
  <w15:docId w15:val="{E73E9ABE-C5FA-407B-AA19-9958FBAF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817E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F4E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26AE"/>
  </w:style>
  <w:style w:type="paragraph" w:styleId="Pieddepage">
    <w:name w:val="footer"/>
    <w:basedOn w:val="Normal"/>
    <w:link w:val="PieddepageCar"/>
    <w:unhideWhenUsed/>
    <w:rsid w:val="0034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4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epedagogique.net/lexpresso/Pages/2018/02/15022018Article636542746811501072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cahiers-pedagogiques.com/La-manipulation-en-maths-oui-ou-non-Vous-en-pensez-quo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3</cp:revision>
  <dcterms:created xsi:type="dcterms:W3CDTF">2019-12-20T10:26:00Z</dcterms:created>
  <dcterms:modified xsi:type="dcterms:W3CDTF">2019-12-20T10:27:00Z</dcterms:modified>
</cp:coreProperties>
</file>