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E8" w:rsidRPr="007410D9" w:rsidRDefault="007410D9" w:rsidP="000B61E8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7410D9">
        <w:rPr>
          <w:rFonts w:asciiTheme="minorHAnsi" w:hAnsiTheme="minorHAnsi" w:cstheme="minorHAnsi"/>
          <w:b/>
          <w:sz w:val="36"/>
        </w:rPr>
        <w:t>LE MOT DU CHERCHEUR</w:t>
      </w:r>
      <w:r>
        <w:rPr>
          <w:b/>
          <w:sz w:val="36"/>
        </w:rPr>
        <w:t> </w:t>
      </w:r>
      <w:r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6801F3" w:rsidRPr="007410D9">
        <w:rPr>
          <w:rFonts w:asciiTheme="minorHAnsi" w:hAnsiTheme="minorHAnsi" w:cstheme="minorHAnsi"/>
          <w:b/>
          <w:sz w:val="36"/>
          <w:szCs w:val="36"/>
        </w:rPr>
        <w:t>M</w:t>
      </w:r>
      <w:r w:rsidRPr="007410D9">
        <w:rPr>
          <w:rFonts w:asciiTheme="minorHAnsi" w:hAnsiTheme="minorHAnsi" w:cstheme="minorHAnsi"/>
          <w:b/>
          <w:sz w:val="36"/>
          <w:szCs w:val="36"/>
        </w:rPr>
        <w:t>@</w:t>
      </w:r>
      <w:r w:rsidR="006801F3" w:rsidRPr="007410D9">
        <w:rPr>
          <w:rFonts w:asciiTheme="minorHAnsi" w:hAnsiTheme="minorHAnsi" w:cstheme="minorHAnsi"/>
          <w:b/>
          <w:sz w:val="36"/>
          <w:szCs w:val="36"/>
        </w:rPr>
        <w:t xml:space="preserve">ths en vie, une démarche </w:t>
      </w:r>
      <w:r w:rsidR="0007657D" w:rsidRPr="007410D9">
        <w:rPr>
          <w:rFonts w:asciiTheme="minorHAnsi" w:hAnsiTheme="minorHAnsi" w:cstheme="minorHAnsi"/>
          <w:b/>
          <w:sz w:val="36"/>
          <w:szCs w:val="36"/>
        </w:rPr>
        <w:t xml:space="preserve">qui facilite le passage de la </w:t>
      </w:r>
      <w:r w:rsidR="006801F3" w:rsidRPr="007410D9">
        <w:rPr>
          <w:rFonts w:asciiTheme="minorHAnsi" w:hAnsiTheme="minorHAnsi" w:cstheme="minorHAnsi"/>
          <w:b/>
          <w:sz w:val="36"/>
          <w:szCs w:val="36"/>
        </w:rPr>
        <w:t>r</w:t>
      </w:r>
      <w:r w:rsidR="0067512C" w:rsidRPr="007410D9">
        <w:rPr>
          <w:rFonts w:asciiTheme="minorHAnsi" w:hAnsiTheme="minorHAnsi" w:cstheme="minorHAnsi"/>
          <w:b/>
          <w:sz w:val="36"/>
          <w:szCs w:val="36"/>
        </w:rPr>
        <w:t>eprésen</w:t>
      </w:r>
      <w:r w:rsidR="00C050BB" w:rsidRPr="007410D9">
        <w:rPr>
          <w:rFonts w:asciiTheme="minorHAnsi" w:hAnsiTheme="minorHAnsi" w:cstheme="minorHAnsi"/>
          <w:b/>
          <w:sz w:val="36"/>
          <w:szCs w:val="36"/>
        </w:rPr>
        <w:t>t</w:t>
      </w:r>
      <w:r w:rsidRPr="007410D9">
        <w:rPr>
          <w:rFonts w:asciiTheme="minorHAnsi" w:hAnsiTheme="minorHAnsi" w:cstheme="minorHAnsi"/>
          <w:b/>
          <w:sz w:val="36"/>
          <w:szCs w:val="36"/>
        </w:rPr>
        <w:t xml:space="preserve">ation </w:t>
      </w:r>
      <w:r w:rsidR="0007657D" w:rsidRPr="007410D9">
        <w:rPr>
          <w:rFonts w:asciiTheme="minorHAnsi" w:hAnsiTheme="minorHAnsi" w:cstheme="minorHAnsi"/>
          <w:b/>
          <w:sz w:val="36"/>
          <w:szCs w:val="36"/>
        </w:rPr>
        <w:t xml:space="preserve">à </w:t>
      </w:r>
      <w:r w:rsidR="006801F3" w:rsidRPr="007410D9">
        <w:rPr>
          <w:rFonts w:asciiTheme="minorHAnsi" w:hAnsiTheme="minorHAnsi" w:cstheme="minorHAnsi"/>
          <w:b/>
          <w:sz w:val="36"/>
          <w:szCs w:val="36"/>
        </w:rPr>
        <w:t xml:space="preserve">la </w:t>
      </w:r>
      <w:r w:rsidR="00C050BB" w:rsidRPr="007410D9">
        <w:rPr>
          <w:rFonts w:asciiTheme="minorHAnsi" w:hAnsiTheme="minorHAnsi" w:cstheme="minorHAnsi"/>
          <w:b/>
          <w:sz w:val="36"/>
          <w:szCs w:val="36"/>
        </w:rPr>
        <w:t>modélis</w:t>
      </w:r>
      <w:r w:rsidR="0007657D" w:rsidRPr="007410D9">
        <w:rPr>
          <w:rFonts w:asciiTheme="minorHAnsi" w:hAnsiTheme="minorHAnsi" w:cstheme="minorHAnsi"/>
          <w:b/>
          <w:sz w:val="36"/>
          <w:szCs w:val="36"/>
        </w:rPr>
        <w:t>ation</w:t>
      </w:r>
      <w:r w:rsidR="00444028" w:rsidRPr="007410D9">
        <w:rPr>
          <w:rFonts w:asciiTheme="minorHAnsi" w:hAnsiTheme="minorHAnsi" w:cstheme="minorHAnsi"/>
          <w:b/>
          <w:sz w:val="36"/>
          <w:szCs w:val="36"/>
        </w:rPr>
        <w:t> </w:t>
      </w:r>
    </w:p>
    <w:p w:rsidR="00444028" w:rsidRPr="000F154C" w:rsidRDefault="00BA6D1F" w:rsidP="0044402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0F154C">
        <w:rPr>
          <w:rFonts w:asciiTheme="minorHAnsi" w:hAnsiTheme="minorHAnsi" w:cstheme="minorHAnsi"/>
          <w:b/>
          <w:u w:val="single"/>
        </w:rPr>
        <w:t>Représenter</w:t>
      </w:r>
    </w:p>
    <w:p w:rsidR="00C050BB" w:rsidRPr="000F154C" w:rsidRDefault="00444028" w:rsidP="00444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0F154C">
        <w:rPr>
          <w:rFonts w:asciiTheme="minorHAnsi" w:hAnsiTheme="minorHAnsi" w:cstheme="minorHAnsi"/>
          <w:i/>
          <w:iCs/>
        </w:rPr>
        <w:t>D</w:t>
      </w:r>
      <w:r w:rsidR="00C050BB" w:rsidRPr="000F154C">
        <w:rPr>
          <w:rFonts w:asciiTheme="minorHAnsi" w:hAnsiTheme="minorHAnsi" w:cstheme="minorHAnsi"/>
          <w:i/>
          <w:iCs/>
        </w:rPr>
        <w:t>onner à voir</w:t>
      </w:r>
      <w:r w:rsidRPr="000F154C">
        <w:rPr>
          <w:rFonts w:asciiTheme="minorHAnsi" w:hAnsiTheme="minorHAnsi" w:cstheme="minorHAnsi"/>
          <w:i/>
          <w:iCs/>
        </w:rPr>
        <w:t xml:space="preserve"> (</w:t>
      </w:r>
      <w:r w:rsidR="00C050BB" w:rsidRPr="000F154C">
        <w:rPr>
          <w:rFonts w:asciiTheme="minorHAnsi" w:hAnsiTheme="minorHAnsi" w:cstheme="minorHAnsi"/>
          <w:i/>
          <w:iCs/>
        </w:rPr>
        <w:t>premier niveau de représentation commun entre autres aux mathématiques</w:t>
      </w:r>
      <w:r w:rsidR="00702C87" w:rsidRPr="000F154C">
        <w:rPr>
          <w:rFonts w:asciiTheme="minorHAnsi" w:hAnsiTheme="minorHAnsi" w:cstheme="minorHAnsi"/>
          <w:i/>
          <w:iCs/>
        </w:rPr>
        <w:t xml:space="preserve"> </w:t>
      </w:r>
      <w:r w:rsidR="00C050BB" w:rsidRPr="000F154C">
        <w:rPr>
          <w:rFonts w:asciiTheme="minorHAnsi" w:hAnsiTheme="minorHAnsi" w:cstheme="minorHAnsi"/>
          <w:i/>
          <w:iCs/>
        </w:rPr>
        <w:t>et à d’autres disciplines</w:t>
      </w:r>
      <w:r w:rsidRPr="000F154C">
        <w:rPr>
          <w:rFonts w:asciiTheme="minorHAnsi" w:hAnsiTheme="minorHAnsi" w:cstheme="minorHAnsi"/>
          <w:i/>
          <w:iCs/>
        </w:rPr>
        <w:t>)</w:t>
      </w:r>
    </w:p>
    <w:p w:rsidR="00C050BB" w:rsidRPr="000F154C" w:rsidRDefault="00444028" w:rsidP="0044402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0F154C">
        <w:rPr>
          <w:rFonts w:eastAsia="Times New Roman" w:cstheme="minorHAnsi"/>
          <w:i/>
          <w:iCs/>
          <w:sz w:val="24"/>
          <w:szCs w:val="24"/>
          <w:lang w:eastAsia="fr-FR"/>
        </w:rPr>
        <w:t>M</w:t>
      </w:r>
      <w:r w:rsidR="00702C87" w:rsidRPr="000F154C">
        <w:rPr>
          <w:rFonts w:eastAsia="Times New Roman" w:cstheme="minorHAnsi"/>
          <w:i/>
          <w:iCs/>
          <w:sz w:val="24"/>
          <w:szCs w:val="24"/>
          <w:lang w:eastAsia="fr-FR"/>
        </w:rPr>
        <w:t>ettre en évidence</w:t>
      </w:r>
      <w:r w:rsidR="00C050BB" w:rsidRPr="000F154C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des relations entre les objets (ex</w:t>
      </w:r>
      <w:r w:rsidR="00702C87" w:rsidRPr="000F154C">
        <w:rPr>
          <w:rFonts w:eastAsia="Times New Roman" w:cstheme="minorHAnsi"/>
          <w:i/>
          <w:iCs/>
          <w:sz w:val="24"/>
          <w:szCs w:val="24"/>
          <w:lang w:eastAsia="fr-FR"/>
        </w:rPr>
        <w:t>.</w:t>
      </w:r>
      <w:r w:rsidR="00C050BB" w:rsidRPr="000F154C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codage géométrique)</w:t>
      </w:r>
    </w:p>
    <w:p w:rsidR="00444028" w:rsidRPr="000F154C" w:rsidRDefault="00444028" w:rsidP="0044402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0F154C">
        <w:rPr>
          <w:rFonts w:eastAsia="Times New Roman" w:cstheme="minorHAnsi"/>
          <w:i/>
          <w:iCs/>
          <w:sz w:val="24"/>
          <w:szCs w:val="24"/>
          <w:lang w:eastAsia="fr-FR"/>
        </w:rPr>
        <w:t>R</w:t>
      </w:r>
      <w:r w:rsidR="00C050BB" w:rsidRPr="000F154C">
        <w:rPr>
          <w:rFonts w:eastAsia="Times New Roman" w:cstheme="minorHAnsi"/>
          <w:i/>
          <w:iCs/>
          <w:sz w:val="24"/>
          <w:szCs w:val="24"/>
          <w:lang w:eastAsia="fr-FR"/>
        </w:rPr>
        <w:t>eprésenter des objets abstraits, qui n’ont pas d’autre mode d’existence que cette représentation : des n</w:t>
      </w:r>
      <w:r w:rsidR="007410D9" w:rsidRPr="000F154C">
        <w:rPr>
          <w:rFonts w:eastAsia="Times New Roman" w:cstheme="minorHAnsi"/>
          <w:i/>
          <w:iCs/>
          <w:sz w:val="24"/>
          <w:szCs w:val="24"/>
          <w:lang w:eastAsia="fr-FR"/>
        </w:rPr>
        <w:t>ombres décimaux, des fractions,</w:t>
      </w:r>
      <w:r w:rsidR="00C050BB" w:rsidRPr="000F154C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en un mot des objets mathématiques, qui est un troisième niveau de représentation et qui est le moins intuitifs pour les élèves </w:t>
      </w:r>
      <w:r w:rsidR="00702C87" w:rsidRPr="000F154C">
        <w:rPr>
          <w:rFonts w:eastAsia="Times New Roman" w:cstheme="minorHAnsi"/>
          <w:i/>
          <w:iCs/>
          <w:sz w:val="24"/>
          <w:szCs w:val="24"/>
          <w:lang w:eastAsia="fr-FR"/>
        </w:rPr>
        <w:t xml:space="preserve">car les </w:t>
      </w:r>
      <w:r w:rsidR="00C050BB" w:rsidRPr="000F154C">
        <w:rPr>
          <w:rFonts w:eastAsia="Times New Roman" w:cstheme="minorHAnsi"/>
          <w:i/>
          <w:iCs/>
          <w:sz w:val="24"/>
          <w:szCs w:val="24"/>
          <w:lang w:eastAsia="fr-FR"/>
        </w:rPr>
        <w:t>objets ne sont pas accessibles en eux-mêmes, seulement par leurs représentation</w:t>
      </w:r>
      <w:r w:rsidR="007410D9" w:rsidRPr="000F154C">
        <w:rPr>
          <w:rFonts w:eastAsia="Times New Roman" w:cstheme="minorHAnsi"/>
          <w:i/>
          <w:iCs/>
          <w:sz w:val="24"/>
          <w:szCs w:val="24"/>
          <w:lang w:eastAsia="fr-FR"/>
        </w:rPr>
        <w:t>s</w:t>
      </w:r>
      <w:r w:rsidR="00702C87" w:rsidRPr="000F154C">
        <w:rPr>
          <w:rFonts w:eastAsia="Times New Roman" w:cstheme="minorHAnsi"/>
          <w:i/>
          <w:iCs/>
          <w:sz w:val="24"/>
          <w:szCs w:val="24"/>
          <w:lang w:eastAsia="fr-FR"/>
        </w:rPr>
        <w:t>.</w:t>
      </w:r>
      <w:r w:rsidRPr="000F154C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7410D9" w:rsidRPr="000F154C" w:rsidRDefault="00444028" w:rsidP="007410D9">
      <w:pPr>
        <w:spacing w:line="240" w:lineRule="auto"/>
        <w:rPr>
          <w:sz w:val="24"/>
          <w:szCs w:val="24"/>
        </w:rPr>
      </w:pPr>
      <w:r w:rsidRPr="000F154C">
        <w:rPr>
          <w:rFonts w:eastAsia="Times New Roman" w:cstheme="minorHAnsi"/>
          <w:i/>
          <w:iCs/>
          <w:sz w:val="24"/>
          <w:szCs w:val="24"/>
          <w:lang w:eastAsia="fr-FR"/>
        </w:rPr>
        <w:t>Ces représentations diverses peuvent appartenir à différents registres : registre graphique, registre du langage naturel (« un parallélépipède à 6 faces »), registre numérique, registre de l’écriture symbolique</w:t>
      </w:r>
      <w:r w:rsidRPr="000F154C">
        <w:rPr>
          <w:rFonts w:eastAsia="Times New Roman" w:cstheme="minorHAnsi"/>
          <w:sz w:val="24"/>
          <w:szCs w:val="24"/>
          <w:lang w:eastAsia="fr-FR"/>
        </w:rPr>
        <w:t xml:space="preserve"> </w:t>
      </w:r>
      <w:hyperlink r:id="rId7" w:history="1">
        <w:r w:rsidR="007410D9" w:rsidRPr="000F154C">
          <w:rPr>
            <w:rStyle w:val="Lienhypertexte"/>
            <w:sz w:val="24"/>
            <w:szCs w:val="24"/>
          </w:rPr>
          <w:t>https://cache.media.eduscol.education.fr/file/Competences_travaillees/20/7/RA16_C4_MATH_representer_N.</w:t>
        </w:r>
        <w:r w:rsidR="007410D9" w:rsidRPr="000F154C">
          <w:rPr>
            <w:rStyle w:val="Lienhypertexte"/>
            <w:sz w:val="24"/>
            <w:szCs w:val="24"/>
          </w:rPr>
          <w:t>D_566207.pdf</w:t>
        </w:r>
      </w:hyperlink>
      <w:r w:rsidR="000F154C">
        <w:rPr>
          <w:sz w:val="24"/>
          <w:szCs w:val="24"/>
        </w:rPr>
        <w:t xml:space="preserve"> </w:t>
      </w:r>
      <w:r w:rsidR="000F154C" w:rsidRPr="000F154C">
        <w:rPr>
          <w:rFonts w:eastAsia="Times New Roman" w:cstheme="minorHAnsi"/>
          <w:sz w:val="24"/>
          <w:szCs w:val="24"/>
          <w:lang w:eastAsia="fr-FR"/>
        </w:rPr>
        <w:t>(</w:t>
      </w:r>
      <w:r w:rsidR="000F154C" w:rsidRPr="000F154C">
        <w:rPr>
          <w:rFonts w:eastAsia="Times New Roman" w:cstheme="minorHAnsi"/>
          <w:bCs/>
          <w:sz w:val="24"/>
          <w:szCs w:val="24"/>
          <w:lang w:eastAsia="fr-FR"/>
        </w:rPr>
        <w:t>document EDUSCOL)</w:t>
      </w:r>
    </w:p>
    <w:p w:rsidR="00444028" w:rsidRPr="000F154C" w:rsidRDefault="00444028" w:rsidP="007410D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F154C">
        <w:rPr>
          <w:rFonts w:eastAsia="Times New Roman" w:cstheme="minorHAnsi"/>
          <w:b/>
          <w:sz w:val="24"/>
          <w:szCs w:val="24"/>
          <w:u w:val="single"/>
          <w:lang w:eastAsia="fr-FR"/>
        </w:rPr>
        <w:t>Modéliser</w:t>
      </w:r>
      <w:r w:rsidR="004D07CA" w:rsidRPr="000F154C">
        <w:rPr>
          <w:rFonts w:eastAsia="Times New Roman" w:cstheme="minorHAnsi"/>
          <w:sz w:val="24"/>
          <w:szCs w:val="24"/>
          <w:lang w:eastAsia="fr-FR"/>
        </w:rPr>
        <w:t> :</w:t>
      </w:r>
      <w:r w:rsidRPr="000F154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0F154C">
        <w:rPr>
          <w:rFonts w:eastAsia="Times New Roman" w:cstheme="minorHAnsi"/>
          <w:i/>
          <w:sz w:val="24"/>
          <w:szCs w:val="24"/>
          <w:lang w:eastAsia="fr-FR"/>
        </w:rPr>
        <w:t>Traduire en langage mathématique une situation réelle</w:t>
      </w:r>
      <w:r w:rsidR="007410D9" w:rsidRPr="000F154C">
        <w:rPr>
          <w:rFonts w:eastAsia="Times New Roman" w:cstheme="minorHAnsi"/>
          <w:sz w:val="24"/>
          <w:szCs w:val="24"/>
          <w:lang w:eastAsia="fr-FR"/>
        </w:rPr>
        <w:t> </w:t>
      </w:r>
    </w:p>
    <w:p w:rsidR="00572B11" w:rsidRDefault="00572B11" w:rsidP="007410D9">
      <w:pPr>
        <w:spacing w:after="0" w:line="240" w:lineRule="auto"/>
      </w:pPr>
    </w:p>
    <w:p w:rsidR="00572B11" w:rsidRDefault="00572B11" w:rsidP="00572B11">
      <w:pPr>
        <w:spacing w:after="0" w:line="240" w:lineRule="auto"/>
      </w:pPr>
      <w:r>
        <w:fldChar w:fldCharType="begin"/>
      </w:r>
      <w:r>
        <w:instrText xml:space="preserve"> HYPERLINK "https://cache.media.eduscol.education.fr/file/Competences_travaillees/17/7/RA16_C4_MATH_modeliser_N.D_566177.pdf" </w:instrText>
      </w:r>
      <w:r>
        <w:fldChar w:fldCharType="separate"/>
      </w:r>
      <w:r w:rsidRPr="00572B11">
        <w:rPr>
          <w:rStyle w:val="Lienhypertexte"/>
        </w:rPr>
        <w:t>https://cache.media.eduscol.education.fr/file/Competences_travaillees/17/7/RA16_C4_MATH_modeliser_N.D_566177.pdf</w:t>
      </w:r>
      <w:r>
        <w:fldChar w:fldCharType="end"/>
      </w:r>
      <w:r>
        <w:t xml:space="preserve">  (document EDUSCOL)</w:t>
      </w:r>
    </w:p>
    <w:p w:rsidR="00572B11" w:rsidRDefault="00572B11" w:rsidP="007410D9">
      <w:pPr>
        <w:spacing w:after="0" w:line="240" w:lineRule="auto"/>
      </w:pPr>
    </w:p>
    <w:p w:rsidR="00444028" w:rsidRPr="004D07CA" w:rsidRDefault="004D07CA" w:rsidP="00444028">
      <w:pPr>
        <w:pStyle w:val="Paragraphedeliste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</w:t>
      </w:r>
      <w:r w:rsidR="00444028" w:rsidRPr="004D07CA">
        <w:rPr>
          <w:rFonts w:eastAsia="Times New Roman" w:cstheme="minorHAnsi"/>
          <w:sz w:val="24"/>
          <w:szCs w:val="24"/>
          <w:lang w:eastAsia="fr-FR"/>
        </w:rPr>
        <w:t>rois temps : la mise au point d’un modèle à partir du réel, le fonctionnement du modèle lui-même à l’intérieur des mathématiques, et la confrontation des résultats du modèle au réel</w:t>
      </w:r>
      <w:r w:rsidR="0025557D">
        <w:rPr>
          <w:rFonts w:eastAsia="Times New Roman" w:cstheme="minorHAnsi"/>
          <w:sz w:val="24"/>
          <w:szCs w:val="24"/>
          <w:lang w:eastAsia="fr-FR"/>
        </w:rPr>
        <w:t>.</w:t>
      </w:r>
    </w:p>
    <w:p w:rsidR="00444028" w:rsidRPr="004D07CA" w:rsidRDefault="00444028" w:rsidP="00444028">
      <w:pPr>
        <w:ind w:left="405"/>
        <w:jc w:val="center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r w:rsidRPr="004D07CA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5367C89A" wp14:editId="4F87A78B">
            <wp:extent cx="5874589" cy="372712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96"/>
                    <a:stretch/>
                  </pic:blipFill>
                  <pic:spPr bwMode="auto">
                    <a:xfrm>
                      <a:off x="0" y="0"/>
                      <a:ext cx="6083243" cy="385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154C" w:rsidRDefault="000F154C" w:rsidP="000F154C">
      <w:pPr>
        <w:rPr>
          <w:rFonts w:cstheme="minorHAnsi"/>
        </w:rPr>
      </w:pPr>
    </w:p>
    <w:p w:rsidR="000F154C" w:rsidRPr="0025557D" w:rsidRDefault="005E3A4B" w:rsidP="000F154C">
      <w:pPr>
        <w:rPr>
          <w:rFonts w:cstheme="minorHAnsi"/>
          <w:sz w:val="24"/>
          <w:szCs w:val="24"/>
        </w:rPr>
      </w:pPr>
      <w:r w:rsidRPr="0025557D">
        <w:rPr>
          <w:rFonts w:cstheme="minorHAnsi"/>
          <w:sz w:val="24"/>
          <w:szCs w:val="24"/>
        </w:rPr>
        <w:t>En exerçant les élèves à repérer des situations réelles pouvant faire l’objet d’un investissement mathématique, ils se créent un répertoire de représentations qu’ils pourront ensuite mobiliser dans d’autres situations similaires.</w:t>
      </w:r>
      <w:r w:rsidR="000F154C" w:rsidRPr="0025557D">
        <w:rPr>
          <w:rFonts w:cstheme="minorHAnsi"/>
          <w:sz w:val="24"/>
          <w:szCs w:val="24"/>
        </w:rPr>
        <w:t xml:space="preserve"> </w:t>
      </w:r>
    </w:p>
    <w:p w:rsidR="000F154C" w:rsidRPr="0025557D" w:rsidRDefault="000F154C" w:rsidP="000F154C">
      <w:pPr>
        <w:rPr>
          <w:rFonts w:cstheme="minorHAnsi"/>
          <w:sz w:val="24"/>
          <w:szCs w:val="24"/>
        </w:rPr>
      </w:pPr>
      <w:r w:rsidRPr="0025557D">
        <w:rPr>
          <w:rFonts w:cstheme="minorHAnsi"/>
          <w:sz w:val="24"/>
          <w:szCs w:val="24"/>
        </w:rPr>
        <w:lastRenderedPageBreak/>
        <w:t>L’utilisation de la photo permet de construire ce temps intermédiaire entre une situation vécue, réelle et une abstraction abstraite visée par l’exercice scolaire.</w:t>
      </w:r>
    </w:p>
    <w:p w:rsidR="00492942" w:rsidRDefault="006801F3" w:rsidP="004929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Alain Descaves</w:t>
      </w:r>
      <w:r w:rsidR="0067512C" w:rsidRPr="004D07C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67512C" w:rsidRPr="004D07CA">
        <w:rPr>
          <w:rFonts w:cstheme="minorHAnsi"/>
          <w:sz w:val="24"/>
          <w:szCs w:val="24"/>
        </w:rPr>
        <w:t>IREM (Institut de recherche sur l’</w:t>
      </w:r>
      <w:r w:rsidR="000E24F2">
        <w:rPr>
          <w:rFonts w:cstheme="minorHAnsi"/>
          <w:sz w:val="24"/>
          <w:szCs w:val="24"/>
        </w:rPr>
        <w:t>enseignement des mathématiques)</w:t>
      </w:r>
      <w:r w:rsidR="0067512C" w:rsidRPr="004D07CA">
        <w:rPr>
          <w:rFonts w:cstheme="minorHAnsi"/>
          <w:sz w:val="24"/>
          <w:szCs w:val="24"/>
        </w:rPr>
        <w:t xml:space="preserve"> propose de mettre en relation « différents systèmes de représentation (langue naturelle, représentations iconiques, matériels, écrits mathématiques), source d’enrichissement du sens, </w:t>
      </w:r>
      <w:r w:rsidR="000E24F2">
        <w:rPr>
          <w:rFonts w:cstheme="minorHAnsi"/>
          <w:sz w:val="24"/>
          <w:szCs w:val="24"/>
        </w:rPr>
        <w:t xml:space="preserve">Cette mise en correspondance </w:t>
      </w:r>
      <w:r w:rsidR="0067512C" w:rsidRPr="004D07CA">
        <w:rPr>
          <w:rFonts w:cstheme="minorHAnsi"/>
          <w:sz w:val="24"/>
          <w:szCs w:val="24"/>
        </w:rPr>
        <w:t>permet alors d’aider à</w:t>
      </w:r>
      <w:r w:rsidR="0025557D">
        <w:rPr>
          <w:rFonts w:cstheme="minorHAnsi"/>
          <w:sz w:val="24"/>
          <w:szCs w:val="24"/>
        </w:rPr>
        <w:t xml:space="preserve"> la compréhension de l’énoncé. </w:t>
      </w:r>
      <w:r w:rsidR="0067512C" w:rsidRPr="004D07CA">
        <w:rPr>
          <w:rFonts w:cstheme="minorHAnsi"/>
          <w:sz w:val="24"/>
          <w:szCs w:val="24"/>
        </w:rPr>
        <w:t xml:space="preserve"> L’utilisation de systèmes matériels de représentation (iconiques, symboliques, </w:t>
      </w:r>
      <w:r w:rsidR="000F154C" w:rsidRPr="004D07CA">
        <w:rPr>
          <w:rFonts w:cstheme="minorHAnsi"/>
          <w:sz w:val="24"/>
          <w:szCs w:val="24"/>
        </w:rPr>
        <w:t>etc.</w:t>
      </w:r>
      <w:r w:rsidR="0067512C" w:rsidRPr="004D07CA">
        <w:rPr>
          <w:rFonts w:cstheme="minorHAnsi"/>
          <w:sz w:val="24"/>
          <w:szCs w:val="24"/>
        </w:rPr>
        <w:t xml:space="preserve">) facilite le passage de la représentation du problème à celle de la solution. </w:t>
      </w:r>
    </w:p>
    <w:p w:rsidR="00EC7F75" w:rsidRDefault="00EC7F75" w:rsidP="0025557D">
      <w:pPr>
        <w:spacing w:after="0"/>
        <w:jc w:val="center"/>
        <w:rPr>
          <w:rFonts w:cstheme="minorHAnsi"/>
          <w:color w:val="1414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E5220" wp14:editId="5DA1771B">
                <wp:simplePos x="0" y="0"/>
                <wp:positionH relativeFrom="column">
                  <wp:posOffset>1158165</wp:posOffset>
                </wp:positionH>
                <wp:positionV relativeFrom="paragraph">
                  <wp:posOffset>2806700</wp:posOffset>
                </wp:positionV>
                <wp:extent cx="985652" cy="296883"/>
                <wp:effectExtent l="0" t="0" r="24130" b="2730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7F75" w:rsidRDefault="00EC7F75" w:rsidP="00EC7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22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91.2pt;margin-top:221pt;width:77.6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" fillcolor="white [3201]" strokecolor="white [3212]" strokeweight=".5pt">
                <v:textbox>
                  <w:txbxContent>
                    <w:p w:rsidR="00EC7F75" w:rsidRDefault="00EC7F75" w:rsidP="00EC7F7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E1D722" wp14:editId="022EB82D">
            <wp:extent cx="6386604" cy="6999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604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75" w:rsidRPr="0025557D" w:rsidRDefault="0025557D" w:rsidP="0025557D">
      <w:pPr>
        <w:spacing w:after="0" w:line="240" w:lineRule="auto"/>
        <w:jc w:val="both"/>
        <w:outlineLvl w:val="2"/>
        <w:rPr>
          <w:rFonts w:cstheme="minorHAnsi"/>
          <w:i/>
          <w:color w:val="141412"/>
        </w:rPr>
      </w:pP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>
        <w:rPr>
          <w:rFonts w:cstheme="minorHAnsi"/>
          <w:color w:val="141412"/>
        </w:rPr>
        <w:tab/>
      </w:r>
      <w:r w:rsidRPr="0025557D">
        <w:rPr>
          <w:rFonts w:cstheme="minorHAnsi"/>
          <w:i/>
          <w:color w:val="141412"/>
        </w:rPr>
        <w:t>Alain Descaves</w:t>
      </w:r>
    </w:p>
    <w:p w:rsidR="00563528" w:rsidRPr="004D07CA" w:rsidRDefault="00244493" w:rsidP="007B17C6">
      <w:pPr>
        <w:spacing w:before="100" w:beforeAutospacing="1" w:after="100" w:afterAutospacing="1" w:line="240" w:lineRule="auto"/>
        <w:jc w:val="both"/>
        <w:outlineLvl w:val="2"/>
        <w:rPr>
          <w:rFonts w:cstheme="minorHAnsi"/>
          <w:sz w:val="24"/>
          <w:szCs w:val="24"/>
        </w:rPr>
      </w:pPr>
      <w:r w:rsidRPr="0025557D">
        <w:rPr>
          <w:rFonts w:cstheme="minorHAnsi"/>
          <w:color w:val="141412"/>
          <w:sz w:val="24"/>
          <w:szCs w:val="24"/>
        </w:rPr>
        <w:t>L’utilisation de la photo permet d’alléger la tâche « s’approprier le problème ». Elle est une aide à la représentation du problème</w:t>
      </w:r>
      <w:r w:rsidR="0025557D" w:rsidRPr="0025557D">
        <w:rPr>
          <w:rFonts w:cstheme="minorHAnsi"/>
          <w:color w:val="141412"/>
          <w:sz w:val="24"/>
          <w:szCs w:val="24"/>
        </w:rPr>
        <w:t xml:space="preserve"> et </w:t>
      </w:r>
      <w:r w:rsidR="0025557D">
        <w:rPr>
          <w:rFonts w:cstheme="minorHAnsi"/>
          <w:color w:val="141412"/>
          <w:sz w:val="24"/>
          <w:szCs w:val="24"/>
        </w:rPr>
        <w:t>p</w:t>
      </w:r>
      <w:r w:rsidRPr="0025557D">
        <w:rPr>
          <w:rFonts w:cstheme="minorHAnsi"/>
          <w:sz w:val="24"/>
          <w:szCs w:val="24"/>
        </w:rPr>
        <w:t>eut facilite</w:t>
      </w:r>
      <w:r w:rsidR="000E24F2" w:rsidRPr="0025557D">
        <w:rPr>
          <w:rFonts w:cstheme="minorHAnsi"/>
          <w:sz w:val="24"/>
          <w:szCs w:val="24"/>
        </w:rPr>
        <w:t>r</w:t>
      </w:r>
      <w:r w:rsidRPr="0025557D">
        <w:rPr>
          <w:rFonts w:cstheme="minorHAnsi"/>
          <w:sz w:val="24"/>
          <w:szCs w:val="24"/>
        </w:rPr>
        <w:t xml:space="preserve"> le passage à la modélisation.</w:t>
      </w:r>
    </w:p>
    <w:sectPr w:rsidR="00563528" w:rsidRPr="004D07CA" w:rsidSect="007B17C6">
      <w:footerReference w:type="default" r:id="rId10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25" w:rsidRDefault="00393425" w:rsidP="007B17C6">
      <w:pPr>
        <w:spacing w:after="0" w:line="240" w:lineRule="auto"/>
      </w:pPr>
      <w:r>
        <w:separator/>
      </w:r>
    </w:p>
  </w:endnote>
  <w:endnote w:type="continuationSeparator" w:id="0">
    <w:p w:rsidR="00393425" w:rsidRDefault="00393425" w:rsidP="007B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C6" w:rsidRDefault="007B17C6" w:rsidP="007B17C6">
    <w:pPr>
      <w:pStyle w:val="Pieddepage"/>
      <w:tabs>
        <w:tab w:val="clear" w:pos="4536"/>
        <w:tab w:val="clear" w:pos="9072"/>
        <w:tab w:val="center" w:pos="7380"/>
        <w:tab w:val="right" w:pos="13680"/>
      </w:tabs>
      <w:rPr>
        <w:sz w:val="20"/>
      </w:rPr>
    </w:pPr>
    <w:r>
      <w:rPr>
        <w:sz w:val="20"/>
      </w:rPr>
      <w:ptab w:relativeTo="margin" w:alignment="center" w:leader="none"/>
    </w:r>
    <w:r>
      <w:rPr>
        <w:sz w:val="20"/>
      </w:rPr>
      <w:t>Gil Gaune</w:t>
    </w:r>
    <w:r w:rsidRPr="00BE273D">
      <w:rPr>
        <w:sz w:val="20"/>
      </w:rPr>
      <w:t>, Nathalie Roussel, Cécile Xercavins</w:t>
    </w:r>
  </w:p>
  <w:p w:rsidR="007B17C6" w:rsidRDefault="007B17C6" w:rsidP="007B17C6">
    <w:pPr>
      <w:pStyle w:val="Pieddepage"/>
    </w:pPr>
    <w:r>
      <w:rPr>
        <w:sz w:val="20"/>
      </w:rPr>
      <w:ptab w:relativeTo="margin" w:alignment="center" w:leader="none"/>
    </w: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  <w:p w:rsidR="007B17C6" w:rsidRDefault="007B17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25" w:rsidRDefault="00393425" w:rsidP="007B17C6">
      <w:pPr>
        <w:spacing w:after="0" w:line="240" w:lineRule="auto"/>
      </w:pPr>
      <w:r>
        <w:separator/>
      </w:r>
    </w:p>
  </w:footnote>
  <w:footnote w:type="continuationSeparator" w:id="0">
    <w:p w:rsidR="00393425" w:rsidRDefault="00393425" w:rsidP="007B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7F1"/>
    <w:multiLevelType w:val="multilevel"/>
    <w:tmpl w:val="82463A4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7E9A"/>
    <w:multiLevelType w:val="hybridMultilevel"/>
    <w:tmpl w:val="A4A83812"/>
    <w:lvl w:ilvl="0" w:tplc="226859A2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93425C"/>
    <w:multiLevelType w:val="hybridMultilevel"/>
    <w:tmpl w:val="92C88774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E8"/>
    <w:rsid w:val="00002EA7"/>
    <w:rsid w:val="0007657D"/>
    <w:rsid w:val="000827DF"/>
    <w:rsid w:val="000B61E8"/>
    <w:rsid w:val="000E24F2"/>
    <w:rsid w:val="000F154C"/>
    <w:rsid w:val="001476E1"/>
    <w:rsid w:val="00225435"/>
    <w:rsid w:val="00244493"/>
    <w:rsid w:val="0025557D"/>
    <w:rsid w:val="00393425"/>
    <w:rsid w:val="003D5730"/>
    <w:rsid w:val="00444028"/>
    <w:rsid w:val="00492942"/>
    <w:rsid w:val="004D07CA"/>
    <w:rsid w:val="00563528"/>
    <w:rsid w:val="005647E9"/>
    <w:rsid w:val="00572B11"/>
    <w:rsid w:val="005D6286"/>
    <w:rsid w:val="005E3A4B"/>
    <w:rsid w:val="006506BC"/>
    <w:rsid w:val="0067512C"/>
    <w:rsid w:val="006801F3"/>
    <w:rsid w:val="00702C87"/>
    <w:rsid w:val="007410D9"/>
    <w:rsid w:val="007B17C6"/>
    <w:rsid w:val="00881519"/>
    <w:rsid w:val="008960CD"/>
    <w:rsid w:val="00981FD4"/>
    <w:rsid w:val="00A923AC"/>
    <w:rsid w:val="00B2000C"/>
    <w:rsid w:val="00B73A5D"/>
    <w:rsid w:val="00BA6D1F"/>
    <w:rsid w:val="00BB4B63"/>
    <w:rsid w:val="00BF6B27"/>
    <w:rsid w:val="00C050BB"/>
    <w:rsid w:val="00CF5952"/>
    <w:rsid w:val="00E94F01"/>
    <w:rsid w:val="00E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8568"/>
  <w15:chartTrackingRefBased/>
  <w15:docId w15:val="{D7D5321A-1D1F-400C-A207-E3BAA9AD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63"/>
    <w:pPr>
      <w:spacing w:line="256" w:lineRule="auto"/>
    </w:pPr>
  </w:style>
  <w:style w:type="paragraph" w:styleId="Titre4">
    <w:name w:val="heading 4"/>
    <w:basedOn w:val="Normal"/>
    <w:link w:val="Titre4Car"/>
    <w:uiPriority w:val="9"/>
    <w:qFormat/>
    <w:rsid w:val="0044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B61E8"/>
    <w:rPr>
      <w:b/>
      <w:bCs/>
    </w:rPr>
  </w:style>
  <w:style w:type="character" w:customStyle="1" w:styleId="familyname">
    <w:name w:val="familyname"/>
    <w:basedOn w:val="Policepardfaut"/>
    <w:rsid w:val="000B61E8"/>
  </w:style>
  <w:style w:type="paragraph" w:styleId="Paragraphedeliste">
    <w:name w:val="List Paragraph"/>
    <w:basedOn w:val="Normal"/>
    <w:uiPriority w:val="34"/>
    <w:qFormat/>
    <w:rsid w:val="00702C8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B4B6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4402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3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410D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10D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7C6"/>
  </w:style>
  <w:style w:type="paragraph" w:styleId="Pieddepage">
    <w:name w:val="footer"/>
    <w:basedOn w:val="Normal"/>
    <w:link w:val="PieddepageCar"/>
    <w:unhideWhenUsed/>
    <w:rsid w:val="007B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B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ache.media.eduscol.education.fr/file/Competences_travaillees/20/7/RA16_C4_MATH_representer_N.D_56620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cp:lastPrinted>2020-02-20T07:53:00Z</cp:lastPrinted>
  <dcterms:created xsi:type="dcterms:W3CDTF">2020-03-08T16:33:00Z</dcterms:created>
  <dcterms:modified xsi:type="dcterms:W3CDTF">2020-03-13T14:08:00Z</dcterms:modified>
</cp:coreProperties>
</file>